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r>
        <w:rPr>
          <w:rFonts w:ascii="Times New Roman" w:hAnsi="Times New Roman"/>
          <w:color w:val="000000"/>
        </w:rP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3073082</wp:posOffset>
            </wp:positionH>
            <wp:positionV relativeFrom="page">
              <wp:posOffset>314324</wp:posOffset>
            </wp:positionV>
            <wp:extent cx="805180" cy="576580"/>
            <wp:effectExtent b="0" l="0" r="0" t="0"/>
            <wp:wrapNone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805180" cy="57658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4000000">
      <w:pPr>
        <w:pStyle w:val="Style_3"/>
        <w:spacing w:line="240" w:lineRule="auto"/>
        <w:ind/>
        <w:jc w:val="center"/>
        <w:rPr>
          <w:rFonts w:ascii="Times New Roman" w:hAnsi="Times New Roman"/>
          <w:color w:val="000000"/>
          <w:sz w:val="40"/>
        </w:rPr>
      </w:pPr>
      <w:r>
        <w:rPr>
          <w:rFonts w:ascii="Times New Roman" w:hAnsi="Times New Roman"/>
          <w:color w:val="000000"/>
          <w:sz w:val="40"/>
        </w:rPr>
        <w:t>А</w:t>
      </w:r>
      <w:r>
        <w:rPr>
          <w:rFonts w:ascii="Times New Roman" w:hAnsi="Times New Roman"/>
          <w:color w:val="000000"/>
          <w:sz w:val="40"/>
        </w:rPr>
        <w:t>ДМИНИСТРАЦИЯ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ЛАЗОВСКОГО МУНИЦИПАЛЬНОГО ОКРУГА  ПРИМОРСКОГО КРАЯ </w:t>
      </w:r>
    </w:p>
    <w:p w14:paraId="06000000">
      <w:pPr>
        <w:spacing w:after="0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234632</wp:posOffset>
                </wp:positionH>
                <wp:positionV relativeFrom="page">
                  <wp:posOffset>1619249</wp:posOffset>
                </wp:positionV>
                <wp:extent cx="6354372" cy="1886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354372" cy="1886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0"/>
          <w:color w:val="000000"/>
          <w:sz w:val="34"/>
        </w:rPr>
        <w:t>ПОСТАНОВЛЕНИЕ</w:t>
      </w:r>
    </w:p>
    <w:p w14:paraId="07000000">
      <w:pPr>
        <w:spacing w:after="0"/>
        <w:ind/>
        <w:jc w:val="both"/>
        <w:rPr>
          <w:rFonts w:ascii="Times New Roman" w:hAnsi="Times New Roman"/>
          <w:color w:val="000000"/>
        </w:rPr>
      </w:pPr>
    </w:p>
    <w:p w14:paraId="08000000">
      <w:pPr>
        <w:tabs>
          <w:tab w:leader="none" w:pos="709" w:val="left"/>
        </w:tabs>
        <w:spacing w:after="0"/>
        <w:ind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    19 января</w:t>
      </w:r>
      <w:r>
        <w:rPr>
          <w:rFonts w:ascii="Times New Roman" w:hAnsi="Times New Roman"/>
          <w:color w:val="000000"/>
          <w:sz w:val="26"/>
        </w:rPr>
        <w:t xml:space="preserve"> 2025</w:t>
      </w:r>
      <w:r>
        <w:rPr>
          <w:rFonts w:ascii="Times New Roman" w:hAnsi="Times New Roman"/>
          <w:color w:val="000000"/>
          <w:sz w:val="26"/>
        </w:rPr>
        <w:t xml:space="preserve"> г.                                      с. Лазо                                                    № 23</w:t>
      </w:r>
    </w:p>
    <w:p w14:paraId="09000000">
      <w:pPr>
        <w:tabs>
          <w:tab w:leader="none" w:pos="709" w:val="left"/>
        </w:tabs>
        <w:spacing w:after="0" w:line="360" w:lineRule="auto"/>
        <w:ind/>
        <w:jc w:val="both"/>
        <w:rPr>
          <w:rFonts w:ascii="Times New Roman" w:hAnsi="Times New Roman"/>
          <w:color w:val="000000"/>
        </w:rPr>
      </w:pPr>
    </w:p>
    <w:p w14:paraId="0A000000">
      <w:pPr>
        <w:tabs>
          <w:tab w:leader="none" w:pos="709" w:val="left"/>
        </w:tabs>
        <w:spacing w:after="0" w:line="276" w:lineRule="auto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  <w:sz w:val="26"/>
        </w:rPr>
        <w:t>Об утверждении требований к архитектурному облику зданий и строений на территории Лазовского муниципального округа</w:t>
      </w:r>
    </w:p>
    <w:p w14:paraId="0B000000">
      <w:pPr>
        <w:tabs>
          <w:tab w:leader="none" w:pos="709" w:val="left"/>
        </w:tabs>
        <w:spacing w:after="0"/>
        <w:ind/>
        <w:jc w:val="center"/>
        <w:rPr>
          <w:rFonts w:ascii="Times New Roman" w:hAnsi="Times New Roman"/>
          <w:color w:val="000000"/>
        </w:rPr>
      </w:pPr>
    </w:p>
    <w:p w14:paraId="0C000000">
      <w:pPr>
        <w:spacing w:after="227" w:line="360" w:lineRule="auto"/>
        <w:ind w:firstLine="567" w:left="0"/>
        <w:jc w:val="both"/>
        <w:rPr>
          <w:rFonts w:ascii="Montserrat" w:hAnsi="Montserrat"/>
          <w:b w:val="0"/>
          <w:i w:val="0"/>
          <w:caps w:val="0"/>
          <w:color w:val="4F5AA8"/>
          <w:spacing w:val="0"/>
          <w:sz w:val="24"/>
          <w:highlight w:val="white"/>
          <w:u w:color="000000" w:val="single"/>
        </w:rPr>
      </w:pPr>
      <w:r>
        <w:rPr>
          <w:rFonts w:ascii="Times New Roman" w:hAnsi="Times New Roman"/>
          <w:color w:val="000000"/>
          <w:sz w:val="26"/>
        </w:rPr>
        <w:t>В</w:t>
      </w:r>
      <w:r>
        <w:rPr>
          <w:rFonts w:ascii="Times New Roman" w:hAnsi="Times New Roman"/>
          <w:color w:val="000000"/>
          <w:sz w:val="26"/>
        </w:rPr>
        <w:t xml:space="preserve"> соответствии с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b w:val="0"/>
          <w:color w:val="000000"/>
          <w:sz w:val="26"/>
        </w:rPr>
        <w:fldChar w:fldCharType="begin"/>
      </w:r>
      <w:r>
        <w:rPr>
          <w:rFonts w:ascii="Times New Roman" w:hAnsi="Times New Roman"/>
          <w:b w:val="0"/>
          <w:color w:val="000000"/>
          <w:sz w:val="26"/>
        </w:rPr>
        <w:instrText>HYPERLINK "https://internet.garant.ru/document/redirect/186367/0"</w:instrText>
      </w:r>
      <w:r>
        <w:rPr>
          <w:rFonts w:ascii="Times New Roman" w:hAnsi="Times New Roman"/>
          <w:b w:val="0"/>
          <w:color w:val="000000"/>
          <w:sz w:val="26"/>
        </w:rPr>
        <w:fldChar w:fldCharType="separate"/>
      </w:r>
      <w:r>
        <w:rPr>
          <w:rFonts w:ascii="Times New Roman" w:hAnsi="Times New Roman"/>
          <w:b w:val="0"/>
          <w:color w:val="000000"/>
          <w:sz w:val="26"/>
        </w:rPr>
        <w:t>Федеральным законом</w:t>
      </w:r>
      <w:r>
        <w:rPr>
          <w:rFonts w:ascii="Times New Roman" w:hAnsi="Times New Roman"/>
          <w:b w:val="0"/>
          <w:color w:val="000000"/>
          <w:sz w:val="26"/>
        </w:rPr>
        <w:fldChar w:fldCharType="end"/>
      </w:r>
      <w:r>
        <w:rPr>
          <w:rFonts w:ascii="Times New Roman" w:hAnsi="Times New Roman"/>
          <w:color w:val="000000"/>
          <w:sz w:val="26"/>
        </w:rPr>
        <w:t xml:space="preserve"> Российской Федерации от 06.10.2003 N 131-ФЗ "Об общих принципах организации местного самоуправления в Российской Федерации", правилами благоустройства территорий Лазовского муниципального округа Приморского края, принятым решением Думы Лазовского муниципального округа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  <w:u w:color="000000" w:val="non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  <w:u w:color="000000" w:val="none"/>
        </w:rPr>
        <w:fldChar w:fldCharType="begin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  <w:u w:color="000000" w:val="none"/>
        </w:rPr>
        <w:instrText>HYPERLINK "https://lazovskymo.gosuslugi.ru/ofitsialno/dokumenty/dokumenty-all-2494_11262.html"</w:instrTex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  <w:u w:color="000000" w:val="non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  <w:u w:color="000000" w:val="none"/>
        </w:rPr>
        <w:t>№542-МПА от 29.01.2025 г. "О внесении изменений в Правила благоустройства территории Лазовского муниципального округа Приморского края, принятые решением Думы Лазовского муниципального округа от 31.03.2021 No 109-МПА"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  <w:u w:color="000000" w:val="none"/>
        </w:rPr>
        <w:fldChar w:fldCharType="end"/>
      </w:r>
      <w:r>
        <w:rPr>
          <w:rFonts w:ascii="Times New Roman" w:hAnsi="Times New Roman"/>
          <w:color w:val="000000"/>
          <w:sz w:val="26"/>
        </w:rPr>
        <w:t>, в</w:t>
      </w:r>
      <w:r>
        <w:rPr>
          <w:rFonts w:ascii="Times New Roman" w:hAnsi="Times New Roman"/>
          <w:sz w:val="26"/>
        </w:rPr>
        <w:t xml:space="preserve">о исполнение п. 4 перечня поручений Губернатора Приморского края от 30.12.2024 </w:t>
      </w:r>
      <w:r>
        <w:rPr>
          <w:rFonts w:ascii="Times New Roman" w:hAnsi="Times New Roman"/>
          <w:sz w:val="26"/>
        </w:rPr>
        <w:t>№ 165-15П,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b w:val="0"/>
          <w:color w:val="000000"/>
          <w:sz w:val="26"/>
        </w:rPr>
        <w:fldChar w:fldCharType="begin"/>
      </w:r>
      <w:r>
        <w:rPr>
          <w:rFonts w:ascii="Times New Roman" w:hAnsi="Times New Roman"/>
          <w:b w:val="0"/>
          <w:color w:val="000000"/>
          <w:sz w:val="26"/>
        </w:rPr>
        <w:instrText>HYPERLINK "https://internet.garant.ru/document/redirect/30107217/0"</w:instrText>
      </w:r>
      <w:r>
        <w:rPr>
          <w:rFonts w:ascii="Times New Roman" w:hAnsi="Times New Roman"/>
          <w:b w:val="0"/>
          <w:color w:val="000000"/>
          <w:sz w:val="26"/>
        </w:rPr>
        <w:fldChar w:fldCharType="separate"/>
      </w:r>
      <w:r>
        <w:rPr>
          <w:rFonts w:ascii="Times New Roman" w:hAnsi="Times New Roman"/>
          <w:b w:val="0"/>
          <w:color w:val="000000"/>
          <w:sz w:val="26"/>
        </w:rPr>
        <w:t>Уставом</w:t>
      </w:r>
      <w:r>
        <w:rPr>
          <w:rFonts w:ascii="Times New Roman" w:hAnsi="Times New Roman"/>
          <w:b w:val="0"/>
          <w:color w:val="000000"/>
          <w:sz w:val="26"/>
        </w:rPr>
        <w:fldChar w:fldCharType="end"/>
      </w:r>
      <w:r>
        <w:rPr>
          <w:rFonts w:ascii="Times New Roman" w:hAnsi="Times New Roman"/>
          <w:color w:val="000000"/>
          <w:sz w:val="26"/>
        </w:rPr>
        <w:t xml:space="preserve"> Лазовского муниципального округа, администрация Лазовского муниципального округа, </w:t>
      </w:r>
    </w:p>
    <w:p w14:paraId="0D000000">
      <w:pPr>
        <w:spacing w:after="0" w:line="360" w:lineRule="auto"/>
        <w:ind w:firstLine="567" w:left="0" w:righ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ПОСТАНОВЛЯЕТ:</w:t>
      </w:r>
    </w:p>
    <w:p w14:paraId="0E000000">
      <w:pPr>
        <w:spacing w:after="0" w:line="360" w:lineRule="auto"/>
        <w:ind w:firstLine="567" w:left="0" w:righ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1. </w:t>
      </w:r>
      <w:r>
        <w:rPr>
          <w:rFonts w:ascii="Times New Roman" w:hAnsi="Times New Roman"/>
          <w:color w:val="000000"/>
          <w:sz w:val="26"/>
        </w:rPr>
        <w:t>Утвердить «Требования к архитектурному облику зданий и строений на территории Лазовского муниципального округа» (Прилагается).</w:t>
      </w:r>
    </w:p>
    <w:p w14:paraId="0F000000">
      <w:pPr>
        <w:spacing w:after="0" w:line="360" w:lineRule="auto"/>
        <w:ind w:firstLine="567" w:left="0" w:righ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2. Признать утратившим силу постановление администрации Лазовского</w:t>
      </w:r>
      <w:r>
        <w:br/>
      </w:r>
      <w:r>
        <w:rPr>
          <w:rFonts w:ascii="Times New Roman" w:hAnsi="Times New Roman"/>
          <w:color w:val="000000"/>
          <w:sz w:val="26"/>
        </w:rPr>
        <w:t>муниципального округа от 26.07.2021г. № 502 «Об утверждении требований к архитектурному облику зданий и строений на территории Лазовского муниципального округа».</w:t>
      </w:r>
    </w:p>
    <w:p w14:paraId="10000000">
      <w:pPr>
        <w:spacing w:after="0" w:line="360" w:lineRule="auto"/>
        <w:ind w:firstLine="567" w:left="0" w:righ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3. </w:t>
      </w:r>
      <w:r>
        <w:rPr>
          <w:rFonts w:ascii="Times New Roman" w:hAnsi="Times New Roman"/>
          <w:color w:val="000000"/>
          <w:sz w:val="26"/>
        </w:rPr>
        <w:t>Начальнику управления делами</w:t>
      </w:r>
      <w:r>
        <w:rPr>
          <w:rFonts w:ascii="Times New Roman" w:hAnsi="Times New Roman"/>
          <w:color w:val="000000"/>
          <w:sz w:val="26"/>
        </w:rPr>
        <w:t xml:space="preserve"> администрации Лазовского муниципального округа обеспечить опубликование настоящего постановления в газете «Синегорье» и размещение на официальном сайте администрации Лазовского муниципального округа в сети «Интернет».</w:t>
      </w:r>
    </w:p>
    <w:p w14:paraId="11000000">
      <w:pPr>
        <w:spacing w:after="0" w:line="360" w:lineRule="auto"/>
        <w:ind w:firstLine="567" w:left="0" w:righ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4</w:t>
      </w:r>
      <w:r>
        <w:rPr>
          <w:rFonts w:ascii="Times New Roman" w:hAnsi="Times New Roman"/>
          <w:color w:val="000000"/>
          <w:sz w:val="26"/>
        </w:rPr>
        <w:t xml:space="preserve">. Настоящее постановление вступает в силу со дня его </w:t>
      </w:r>
      <w:r>
        <w:rPr>
          <w:rFonts w:ascii="Times New Roman" w:hAnsi="Times New Roman"/>
          <w:b w:val="0"/>
          <w:color w:val="000000"/>
          <w:sz w:val="26"/>
        </w:rPr>
        <w:fldChar w:fldCharType="begin"/>
      </w:r>
      <w:r>
        <w:rPr>
          <w:rFonts w:ascii="Times New Roman" w:hAnsi="Times New Roman"/>
          <w:b w:val="0"/>
          <w:color w:val="000000"/>
          <w:sz w:val="26"/>
        </w:rPr>
        <w:instrText>HYPERLINK "https://internet.garant.ru/document/redirect/409019133/0"</w:instrText>
      </w:r>
      <w:r>
        <w:rPr>
          <w:rFonts w:ascii="Times New Roman" w:hAnsi="Times New Roman"/>
          <w:b w:val="0"/>
          <w:color w:val="000000"/>
          <w:sz w:val="26"/>
        </w:rPr>
        <w:fldChar w:fldCharType="separate"/>
      </w:r>
      <w:r>
        <w:rPr>
          <w:rFonts w:ascii="Times New Roman" w:hAnsi="Times New Roman"/>
          <w:b w:val="0"/>
          <w:color w:val="000000"/>
          <w:sz w:val="26"/>
        </w:rPr>
        <w:t>опубликования</w:t>
      </w:r>
      <w:r>
        <w:rPr>
          <w:rFonts w:ascii="Times New Roman" w:hAnsi="Times New Roman"/>
          <w:b w:val="0"/>
          <w:color w:val="000000"/>
          <w:sz w:val="26"/>
        </w:rPr>
        <w:fldChar w:fldCharType="end"/>
      </w:r>
      <w:r>
        <w:rPr>
          <w:rFonts w:ascii="Times New Roman" w:hAnsi="Times New Roman"/>
          <w:b w:val="0"/>
          <w:color w:val="000000"/>
          <w:sz w:val="26"/>
        </w:rPr>
        <w:t xml:space="preserve"> (обнародования)</w:t>
      </w:r>
      <w:r>
        <w:rPr>
          <w:rFonts w:ascii="Times New Roman" w:hAnsi="Times New Roman"/>
          <w:color w:val="000000"/>
          <w:sz w:val="26"/>
        </w:rPr>
        <w:t>.</w:t>
      </w:r>
    </w:p>
    <w:p w14:paraId="12000000">
      <w:pPr>
        <w:tabs>
          <w:tab w:leader="none" w:pos="1254" w:val="left"/>
        </w:tabs>
        <w:spacing w:after="0" w:before="0" w:line="360" w:lineRule="auto"/>
        <w:ind w:firstLine="567" w:left="0" w:righ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5. Контроль за исполнением настоящего постановления оставляю за собой.</w:t>
      </w:r>
    </w:p>
    <w:p w14:paraId="13000000">
      <w:pPr>
        <w:tabs>
          <w:tab w:leader="none" w:pos="1254" w:val="left"/>
        </w:tabs>
        <w:spacing w:after="0" w:before="0" w:line="360" w:lineRule="auto"/>
        <w:ind w:firstLine="1276" w:left="-709" w:right="298"/>
        <w:jc w:val="both"/>
        <w:rPr>
          <w:rFonts w:ascii="Times New Roman" w:hAnsi="Times New Roman"/>
          <w:color w:val="000000"/>
          <w:sz w:val="26"/>
        </w:rPr>
      </w:pPr>
    </w:p>
    <w:p w14:paraId="14000000">
      <w:pPr>
        <w:tabs>
          <w:tab w:leader="none" w:pos="7889" w:val="left"/>
        </w:tabs>
        <w:spacing w:after="57" w:line="240" w:lineRule="auto"/>
        <w:ind w:firstLine="0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Глава</w:t>
      </w:r>
      <w:r>
        <w:rPr>
          <w:rFonts w:ascii="Times New Roman" w:hAnsi="Times New Roman"/>
          <w:color w:val="000000"/>
          <w:spacing w:val="-10"/>
          <w:sz w:val="26"/>
        </w:rPr>
        <w:t xml:space="preserve"> </w:t>
      </w:r>
      <w:r>
        <w:rPr>
          <w:rFonts w:ascii="Times New Roman" w:hAnsi="Times New Roman"/>
          <w:color w:val="000000"/>
          <w:spacing w:val="-10"/>
          <w:sz w:val="26"/>
        </w:rPr>
        <w:t>Лазовского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</w:p>
    <w:p w14:paraId="15000000">
      <w:pPr>
        <w:tabs>
          <w:tab w:leader="none" w:pos="7889" w:val="left"/>
        </w:tabs>
        <w:spacing w:after="57" w:line="240" w:lineRule="auto"/>
        <w:ind w:firstLine="0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муниципального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 xml:space="preserve">округа                                                                   </w:t>
      </w:r>
      <w:r>
        <w:rPr>
          <w:rFonts w:ascii="Times New Roman" w:hAnsi="Times New Roman"/>
          <w:color w:val="000000"/>
          <w:spacing w:val="-2"/>
          <w:sz w:val="26"/>
        </w:rPr>
        <w:tab/>
      </w:r>
      <w:r>
        <w:rPr>
          <w:rFonts w:ascii="Times New Roman" w:hAnsi="Times New Roman"/>
          <w:color w:val="000000"/>
          <w:spacing w:val="-2"/>
          <w:sz w:val="26"/>
        </w:rPr>
        <w:tab/>
      </w:r>
      <w:r>
        <w:rPr>
          <w:rFonts w:ascii="Times New Roman" w:hAnsi="Times New Roman"/>
          <w:color w:val="000000"/>
          <w:sz w:val="26"/>
        </w:rPr>
        <w:t>Р.С. Манукян</w:t>
      </w:r>
      <w:bookmarkStart w:id="1" w:name="P43"/>
      <w:bookmarkEnd w:id="1"/>
    </w:p>
    <w:p w14:paraId="16000000">
      <w:pPr>
        <w:sectPr>
          <w:pgSz w:h="16848" w:orient="portrait" w:w="11908"/>
          <w:pgMar w:bottom="850" w:footer="708" w:gutter="0" w:header="708" w:left="850" w:right="567" w:top="1134"/>
        </w:sectPr>
      </w:pPr>
    </w:p>
    <w:p w14:paraId="17000000">
      <w:pPr>
        <w:pStyle w:val="Style_2"/>
        <w:spacing w:after="0" w:line="240" w:lineRule="auto"/>
        <w:ind/>
        <w:jc w:val="right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>Приложение</w:t>
      </w:r>
    </w:p>
    <w:p w14:paraId="18000000">
      <w:pPr>
        <w:pStyle w:val="Style_2"/>
        <w:spacing w:after="0" w:line="240" w:lineRule="auto"/>
        <w:ind/>
        <w:jc w:val="right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>к постановлению</w:t>
      </w:r>
    </w:p>
    <w:p w14:paraId="19000000">
      <w:pPr>
        <w:pStyle w:val="Style_2"/>
        <w:spacing w:after="0" w:line="240" w:lineRule="auto"/>
        <w:ind/>
        <w:jc w:val="right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>администрации Лазовского</w:t>
      </w:r>
    </w:p>
    <w:p w14:paraId="1A000000">
      <w:pPr>
        <w:pStyle w:val="Style_2"/>
        <w:spacing w:after="0" w:line="240" w:lineRule="auto"/>
        <w:ind/>
        <w:jc w:val="right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>муниципального округа</w:t>
      </w:r>
    </w:p>
    <w:p w14:paraId="1B000000">
      <w:pPr>
        <w:pStyle w:val="Style_2"/>
        <w:spacing w:after="0" w:line="240" w:lineRule="auto"/>
        <w:ind/>
        <w:jc w:val="right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 от 19.01.2026г. № 23</w:t>
      </w:r>
    </w:p>
    <w:p w14:paraId="1C000000">
      <w:pPr>
        <w:pStyle w:val="Style_2"/>
        <w:spacing w:after="0" w:line="240" w:lineRule="auto"/>
        <w:ind/>
        <w:jc w:val="right"/>
        <w:rPr>
          <w:rFonts w:ascii="Times New Roman" w:hAnsi="Times New Roman"/>
          <w:b w:val="0"/>
          <w:sz w:val="26"/>
        </w:rPr>
      </w:pPr>
    </w:p>
    <w:p w14:paraId="1D000000">
      <w:pPr>
        <w:pStyle w:val="Style_2"/>
        <w:spacing w:line="360" w:lineRule="auto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Требования к архитектурному облику зданий и строений, расположенных на территории Лазовского муниципального округа</w:t>
      </w:r>
    </w:p>
    <w:p w14:paraId="1E000000">
      <w:pPr>
        <w:pStyle w:val="Style_2"/>
        <w:spacing w:line="360" w:lineRule="auto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1. Общие положения </w:t>
      </w:r>
    </w:p>
    <w:p w14:paraId="1F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1.1.</w:t>
      </w:r>
      <w:r>
        <w:rPr>
          <w:rFonts w:ascii="Times New Roman" w:hAnsi="Times New Roman"/>
          <w:sz w:val="26"/>
        </w:rPr>
        <w:t xml:space="preserve">Настоящие Требования к архитектурному облику зданий и строений, расположенных на территории Лазовского муниципального округа (далее - Требования) устанавливаются для: </w:t>
      </w:r>
    </w:p>
    <w:p w14:paraId="20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1) малоэтажных, среднеэтажных и многоэтажных жилых домов; </w:t>
      </w:r>
    </w:p>
    <w:p w14:paraId="21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объектов капитального строительства для ведения предпринимательской деятельности; </w:t>
      </w:r>
    </w:p>
    <w:p w14:paraId="22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3) объектов капитального строительства для общественного использования; </w:t>
      </w:r>
    </w:p>
    <w:p w14:paraId="23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4) объектов капитального строительства для ведения производственной деятельности. </w:t>
      </w:r>
    </w:p>
    <w:p w14:paraId="24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1.2. Настоящие Требования не распространяются на: </w:t>
      </w:r>
    </w:p>
    <w:p w14:paraId="25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1) объекты культурного наследия (памятники истории и культуры) и выявленные объекты культурного наследия (памятники истории и культуры); </w:t>
      </w:r>
    </w:p>
    <w:p w14:paraId="26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жилые строения, хозяйственные строения, возведенные на садовых (дачных) земельных участках; </w:t>
      </w:r>
    </w:p>
    <w:p w14:paraId="27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3) линейные объекты. </w:t>
      </w:r>
    </w:p>
    <w:p w14:paraId="28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1.3. Под изменением архитектурного облика зданий и строений понимается: </w:t>
      </w:r>
    </w:p>
    <w:p w14:paraId="29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1) изменение колористической организации и замена материала отделки фасадов зданий, строений и их отдельных конструктивных элементов; </w:t>
      </w:r>
    </w:p>
    <w:p w14:paraId="2A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изменение конструкции крыши, материала кровли, элементов снегозадержания и водоотведения; </w:t>
      </w:r>
    </w:p>
    <w:p w14:paraId="2B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3) создание, изменение или ликвидация крылец, навесов, козырьков, карнизов, балконов, лоджий, веранд, террас, эркеров, декоративных элементов, дверных, витринных, арочных и оконных проемов; </w:t>
      </w:r>
    </w:p>
    <w:p w14:paraId="2C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4) установка или демонтаж дополнительного оборудования, элементов и устройств (наружные блоки систем кондиционирования и вентиляции, банкоматы, элементы архитектурно-художественной подсветки, антенны, видеокамеры, почтовые ящики, часы, электрощиты, кабельные линии, флагштоки). </w:t>
      </w:r>
    </w:p>
    <w:p w14:paraId="2D000000">
      <w:pPr>
        <w:pStyle w:val="Style_2"/>
        <w:spacing w:after="0" w:line="360" w:lineRule="auto"/>
        <w:ind w:firstLine="567" w:left="0" w:right="57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2. Общие требования к архитектурному облику фасадов зданий и строений </w:t>
      </w:r>
    </w:p>
    <w:p w14:paraId="2E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2.1. Изменение архитектурного облика фасада осуществляется в порядке, исключающем ухудшение сохранности и внешнего вида фасадов зданий различного назначения. </w:t>
      </w:r>
    </w:p>
    <w:p w14:paraId="2F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2.2. Цветовое решение зданий и строений должно соответствовать характеристикам и стилевому решению фасада, функциональному назначению объекта, существующему цветовому оформлению застройки улиц и прилегающих к ним территорий, на которых размещаются здания и строения. </w:t>
      </w:r>
    </w:p>
    <w:p w14:paraId="30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2.3. Основным условием для фасадов зданий и строений является обеспечение при визуальном восприятии здания, строения, сооружения стилевого единства его архитектурного облика, достигаемое взаимоувязкой форм, материалов, цветового решения и характера размещения всех деталей и элементов здания, строения, сооружения: подчинение системе горизонтальных и вертикальных осей, членению фасадов здания, строения, сооружения, с учетом принятых приемов архитектурно-художественной композиции объемно-пространственного построения здания и строения. </w:t>
      </w:r>
    </w:p>
    <w:p w14:paraId="31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2.4. Изменение локальных участков фасада здания и строения, связанное с изменением, размещением деталей, элементов и дополнительного оборудования, должно осуществляться с учетом комплексного решения архитектурного облика всех фасадов здания и строения. </w:t>
      </w:r>
    </w:p>
    <w:p w14:paraId="32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2.5. При изменении материалов отделки фасадов здания и строения, изменении конструкции крыши, материала кровли, элементов безопасности крыши, создании, изменении крылец, навесов, козырьков, карнизов, балконов, лоджий, веранд, террас, эркеров, декоративных элементов, дверных, витринных, арочных и оконных проемов, установке дополнительного оборудования, элементов и устройств не допускается закрывать существующие декоративные архитектурные и художественные элементы и детали фасадов, обеспечивающие при визуальном восприятии стилевое единство архитектурного облика здания и строения. </w:t>
      </w:r>
    </w:p>
    <w:p w14:paraId="33000000">
      <w:pPr>
        <w:pStyle w:val="Style_2"/>
        <w:spacing w:after="0" w:line="360" w:lineRule="auto"/>
        <w:ind w:firstLine="567" w:left="0" w:right="57"/>
        <w:jc w:val="center"/>
        <w:rPr>
          <w:rFonts w:ascii="Times New Roman" w:hAnsi="Times New Roman"/>
          <w:b w:val="1"/>
          <w:color w:val="000000"/>
          <w:sz w:val="26"/>
        </w:rPr>
      </w:pPr>
      <w:r>
        <w:rPr>
          <w:rFonts w:ascii="Times New Roman" w:hAnsi="Times New Roman"/>
          <w:b w:val="1"/>
          <w:color w:val="000000"/>
          <w:sz w:val="26"/>
        </w:rPr>
        <w:t xml:space="preserve">3. Общие требования при установке и замене элементов покрытий крыш, навесов и козырьков объектов капитального строительства. </w:t>
      </w:r>
    </w:p>
    <w:p w14:paraId="34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При строительстве, реконструкции объектов капитального строительства, капитальном ремонте объектов капитального строительства, связанном с заменой либо установкой элементов покрытия крыш, навесов и козырьков к применению, допустимы материалы, соответствующие следующим требованиям: для скатных и плоских кровель, покрытий навесов и козырьков допускается применять цвета красно-коричневых, терракотовых и серых оттенков, приближенные к цветам палитры RAL Classic: 3003-3011 </w:t>
      </w:r>
      <w:r>
        <w:rPr>
          <w:rFonts w:ascii="Times New Roman" w:hAnsi="Times New Roman"/>
          <w:sz w:val="26"/>
        </w:rPr>
        <w:t>(за исключением 3006, 3008, 3010)</w:t>
      </w:r>
      <w:r>
        <w:rPr>
          <w:rFonts w:ascii="Times New Roman" w:hAnsi="Times New Roman"/>
          <w:sz w:val="26"/>
        </w:rPr>
        <w:t xml:space="preserve">, 8002-8017 (за исключением 8003,8005– 8010, 8016), 7021, 7024, 7043, 8019, 9004; все внешние металлические и пластмассовые элементы крыши (трубы, отливы и т.п.), за исключением функциональных элементов эксплуатируемой крыши (детские площадки, террасы, ограждение и др.), должны выполняться в едином цветовом решении. </w:t>
      </w:r>
    </w:p>
    <w:p w14:paraId="35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пределах одного объекта капитального строительства для кровель, покрытий навесов и козырьков должны применяться материалы в едином цветовом решении; для материалов с однородной текстурой, без выраженного красочного слоя (натуральные материалы и материалы, имитирующие натуральные) разрешено отклонение от перечня допустимых цветов, при условии, что они повторяют свой натуральный цвет. </w:t>
      </w:r>
    </w:p>
    <w:p w14:paraId="36000000">
      <w:pPr>
        <w:pStyle w:val="Style_2"/>
        <w:spacing w:after="0" w:line="360" w:lineRule="auto"/>
        <w:ind w:firstLine="567" w:left="0" w:right="57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4. Общие требования к устройству и оборудованию окон и витрин зданий и строений </w:t>
      </w:r>
    </w:p>
    <w:p w14:paraId="37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4.1. Требования, предъявляемые к устройству и оборудованию окон и витрин, определяются: </w:t>
      </w:r>
    </w:p>
    <w:p w14:paraId="38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1) проектом, на основании которого был построен объект, либо паспортом цветового решения фасадов; </w:t>
      </w:r>
    </w:p>
    <w:p w14:paraId="39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архитектурно-градостроительной значимостью зданий и строений; </w:t>
      </w:r>
    </w:p>
    <w:p w14:paraId="3A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3) назначением, характером использования помещений; </w:t>
      </w:r>
    </w:p>
    <w:p w14:paraId="3B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4) техническим состоянием основных несущих конструкций зданий и строений. 4.2. Принципы устройства и содержания окон и витрин: </w:t>
      </w:r>
    </w:p>
    <w:p w14:paraId="3C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1) замена оконных и витринных заполнений выполняется в соответствии с архитектурным обликом зданий и строений (рисунком и толщиной переплетов, цветовым решением, сохранением цвета и текстуры материалов); </w:t>
      </w:r>
    </w:p>
    <w:p w14:paraId="3D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окна и витрины должны быть оборудованы отливами (системами водоотвода), окрашенными в цвет оконных конструкций или основного цвета фасада; </w:t>
      </w:r>
    </w:p>
    <w:p w14:paraId="3E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3) внешний вид и цветовое решение защитных решеток и экранов, а также рольставней в пределах одного здания выполняется с учетом единого стилевого решения архитектурного облика зданий и строений; </w:t>
      </w:r>
    </w:p>
    <w:p w14:paraId="3F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4) элементы мобильного озеленения на фасадах размещаются упорядоченно в соответствии с архитектурным обликом зданий и строений. </w:t>
      </w:r>
    </w:p>
    <w:p w14:paraId="40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4.3. Расположение окон и витрин на фасаде, их габариты, характер устройства и внешний вид должны соответствовать архитектурному облику зданий и строений: подчинение системе горизонтальных и вертикальных осей, с учетом принятых приемов архитектурно-художественной композиции объемно-пространственного построения зданий и строений (симметрия-асимметрия, сомасштабность и т.д.), предусмотренному проектным решением. </w:t>
      </w:r>
    </w:p>
    <w:p w14:paraId="41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4.4. Восстановление утраченных оконных проемов, раскрытие заложенных проемов осуществляется в соответствии с проектом, на основании которого был построен объект, либо паспортом цветового решения фасадов, согласованным в установленном порядке. </w:t>
      </w:r>
    </w:p>
    <w:p w14:paraId="42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4.5. Окраска, отделка откосов должна осуществляться в соответствии с колером и общим архитектурным решением отделки фасада. </w:t>
      </w:r>
    </w:p>
    <w:p w14:paraId="43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4.6. При окраске, отделке исключается: </w:t>
      </w:r>
    </w:p>
    <w:p w14:paraId="44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1) окраска откосов и наличников, окраска или облицовка участка фасада вокруг проема, не соответствующая колеру и материалу отделки фасада; </w:t>
      </w:r>
    </w:p>
    <w:p w14:paraId="45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повреждение поверхностей и отделки откосов, элементов архитектурного оформления проема. </w:t>
      </w:r>
    </w:p>
    <w:p w14:paraId="46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4.7. При ремонте и замене отдельных оконных блоков исключается: </w:t>
      </w:r>
    </w:p>
    <w:p w14:paraId="47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1) произвольное изменение цветового решения, рисунка и толщины переплетов, других элементов устройства и оборудования окон и витрин, не соответствующее общему архитектурному решению фасада; </w:t>
      </w:r>
    </w:p>
    <w:p w14:paraId="48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изменение расположения оконного блока в проеме по отношению к плоскости фасада, устройство витрин, выступающих за плоскость фасада. </w:t>
      </w:r>
    </w:p>
    <w:p w14:paraId="49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4.8. Архитектурное решение приямков в пределах одного здания, строения, сооружения должно иметь единое стилевое решение в соответствии с архитектурным обликом зданий и строений, цветовым решением и материалами отделки. </w:t>
      </w:r>
    </w:p>
    <w:p w14:paraId="4A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4.9. Размещение маркиз на фасаде должно иметь единый, упорядоченный характер, соответствовать габаритам и контурам проема, не ухудшать визуальное восприятие архитектурных деталей, декора, знаков адресации, знаков дорожного движения, указателей остановок общественного транспорта, городской ориентирующей информации. </w:t>
      </w:r>
    </w:p>
    <w:p w14:paraId="4B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4.10. Крепление маркиз на архитектурных деталях, элементах декора, поверхностях стен на разной высоте в пределах фасада должно обеспечивать единство архитектурного облика зданий и строений. </w:t>
      </w:r>
    </w:p>
    <w:p w14:paraId="4C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4.11. Сезонное озеленение окон и витрин предусматривается с использованием мобильных наземных, настенных, подвесных устройств. Элементы озеленения на фасадах должны размещаться упорядоченно, без ущерба для архитектурного облика здания и строения. При устройстве элементов озеленения должны быть обеспечены их надежное крепление к поверхностям фасада и необходимая гидроизоляция архитектурных поверхностей фасада зданий и строений. </w:t>
      </w:r>
    </w:p>
    <w:p w14:paraId="4D000000">
      <w:pPr>
        <w:pStyle w:val="Style_2"/>
        <w:spacing w:after="0" w:line="360" w:lineRule="auto"/>
        <w:ind w:firstLine="567" w:left="0" w:right="57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5. Требования к устройству и оборудованию балконов и лоджий на зданиях </w:t>
      </w:r>
    </w:p>
    <w:p w14:paraId="4E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5.1. Расположение балконов и лоджий, их габариты, характер устройства, и внешний вид в пределах одного здания и строения должны соответствовать архитектурному облику зданий и строений: подчинение системе горизонтальных и вертикальных осей, членению фасадов зданий и строений с учетом принятых приемов архитектурно-художественной композиции объемнопространственного построения зданий и строений (симметрия-асимметрия, геометрическое подобие, сомасштабность и т.д.), предусмотренному проектным решением. </w:t>
      </w:r>
    </w:p>
    <w:p w14:paraId="4F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5.2. Характер остекления, цветовое решение всех элементов, рисунок ограждений балконов и лоджий должны соответствовать архитектурному облику зданий и строений, иметь единый и упорядоченный характер. </w:t>
      </w:r>
    </w:p>
    <w:p w14:paraId="50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5.3. Требования, предъявляемые к устройству и оборудованию балконов и лоджий, определяются: </w:t>
      </w:r>
    </w:p>
    <w:p w14:paraId="51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1) общим архитектурным решением фасада; </w:t>
      </w:r>
    </w:p>
    <w:p w14:paraId="52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архитектурно-градостроительной значимостью здания и строения; </w:t>
      </w:r>
    </w:p>
    <w:p w14:paraId="53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3) техническим состоянием основных несущих конструкций здания и строения. 5.4. Устройство и расположение балконов и лоджий определяется архитектурным решением фасада, конструктивной системой зданий и строений, предусмотренных проектом, на основании которого был построен объект, либо паспортом цветового решения фасадов.</w:t>
      </w:r>
    </w:p>
    <w:p w14:paraId="54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5.5. При эксплуатации и ремонте балконов и лоджий остекление и изменение габаритов, фрагментарная окраска или облицовка участка фасада в пределах балкона или лоджии, изменение цветового решения, рисунка ограждений и других элементов устройства и оборудования балконов и лоджий должно осуществляться в соответствии с общим архитектурным решением фасада. </w:t>
      </w:r>
    </w:p>
    <w:p w14:paraId="55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5.6. При строительстве и реконструкции многоквартирных жилых домов, если предусматривается остекление балконов и лоджий, такое остекление необходимо предусматривать с полной либо частичной (с затемнением в нижней части) тонировкой.</w:t>
      </w:r>
    </w:p>
    <w:p w14:paraId="56000000">
      <w:pPr>
        <w:pStyle w:val="Style_2"/>
        <w:spacing w:after="0" w:line="360" w:lineRule="auto"/>
        <w:ind w:firstLine="567" w:left="0" w:right="57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 xml:space="preserve">6. Требования к размещению дополнительного оборудования, элементов и устройств на фасадах зданий Принципы устройства дополнительного оборудования, элементов и устройств на фасадах зданий и строений </w:t>
      </w:r>
    </w:p>
    <w:p w14:paraId="57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1) упорядоченное размещение с учетом архитектурного облика фасада; </w:t>
      </w:r>
    </w:p>
    <w:p w14:paraId="58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исключение размещения на главном фасаде зданий и строений, за исключением случаев, когда планировочные решения здания и строения не позволяют размещение на дворовом фасаде; </w:t>
      </w:r>
    </w:p>
    <w:p w14:paraId="59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3) минимизация выхода технических устройств на поверхность фасадов, устройство декоративных решеток, экранов и коробов; </w:t>
      </w:r>
    </w:p>
    <w:p w14:paraId="5A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4) привязка к единой системе горизонтальных и вертикальных осей на фасаде; </w:t>
      </w:r>
    </w:p>
    <w:p w14:paraId="5B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5) нейтральная окраска, максимально приближенная к цветовому фону фасада зданий и строений; </w:t>
      </w:r>
    </w:p>
    <w:p w14:paraId="5C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6) обеспечение надежного крепления, без повреждения поверхностей фасада, его элементов; </w:t>
      </w:r>
    </w:p>
    <w:p w14:paraId="5D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7) обеспечение размещения, не создающего помех для движения пешеходов и транспорта. </w:t>
      </w:r>
    </w:p>
    <w:p w14:paraId="5E000000">
      <w:pPr>
        <w:pStyle w:val="Style_2"/>
        <w:spacing w:after="0" w:line="360" w:lineRule="auto"/>
        <w:ind w:firstLine="567" w:left="0" w:right="57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7. Требования к доступной среде </w:t>
      </w:r>
    </w:p>
    <w:p w14:paraId="5F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7.1. При устройстве, ремонте и реконструкции входов в общественных, жилых и промышленных зданий и строений следует предусматривать специальные приспособления и оборудование для свободного передвижения и доступа в указанные объекты маломобильных групп населения (ограждения, пандусы, подъемники, тактильные устройства и т.п.). </w:t>
      </w:r>
    </w:p>
    <w:p w14:paraId="60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7.2. К объектам, подлежащим оснащению специальными приспособлениями и оборудованием для свободного передвижения и доступа инвалидов и маломобильных граждан, относятся: </w:t>
      </w:r>
    </w:p>
    <w:p w14:paraId="61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1) жилые и административные здания и строения; </w:t>
      </w:r>
    </w:p>
    <w:p w14:paraId="62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объекты культуры и культурно-зрелищные строения (театры, библиотеки, музеи, места отправления религиозных обрядов и т.д.); </w:t>
      </w:r>
    </w:p>
    <w:p w14:paraId="63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3) объекты образования и науки, здравоохранения и социальной защиты населения;</w:t>
      </w:r>
    </w:p>
    <w:p w14:paraId="64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4) объекты торговли, общественного питания и бытового обслуживания населения, финансово-банковские учреждения, страховые организации; </w:t>
      </w:r>
    </w:p>
    <w:p w14:paraId="65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5) гостиницы, отели, иные места временного проживания; </w:t>
      </w:r>
    </w:p>
    <w:p w14:paraId="66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6) физкультурно-оздоровительные, спортивные здания и строения, места отдыха, парки, сады, лесопарки, пляжи и находящиеся на их территории объекты и строения оздоровительного и рекреационного назначения, аллеи и пешеходные дорожки; </w:t>
      </w:r>
    </w:p>
    <w:p w14:paraId="67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7) здания и строения, предназначенные для работы с пользователями услугами связи, в том числе места оказания услуг связи и их оплаты на объектах связи; </w:t>
      </w:r>
    </w:p>
    <w:p w14:paraId="68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8) объекты и строения транспортного обслуживания населения: железнодорожные вокзалы, автовокзалы, другие объекты автомобильного, железнодорожного, воздушного и водного транспорта, обслуживающие население; </w:t>
      </w:r>
    </w:p>
    <w:p w14:paraId="69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9) станции и остановки всех видов городского и пригородного транспорта; </w:t>
      </w:r>
    </w:p>
    <w:p w14:paraId="6A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10) производственные объекты, объекты малого бизнеса и другие места приложения труда; </w:t>
      </w:r>
    </w:p>
    <w:p w14:paraId="6B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11) тротуары, переходы улиц, дорог и магистралей; </w:t>
      </w:r>
    </w:p>
    <w:p w14:paraId="6C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12) прилегающие к указанным зданиям и сооружениям территории и площади. </w:t>
      </w:r>
    </w:p>
    <w:p w14:paraId="6D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7.3. Принципы устройства специальных приспособлений и оборудования для обеспечения доступа маломобильных групп населения: </w:t>
      </w:r>
    </w:p>
    <w:p w14:paraId="6E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1) нейтральная окраска, максимально приближенная к цветовому фону фасада здания и строения; </w:t>
      </w:r>
    </w:p>
    <w:p w14:paraId="6F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материалы и конструкция специальных приспособлений и оборудования должны отвечать требованиям безопасности, с обеспечением надежного крепления всех составных элементов, без повреждения поверхностей фасада здания и строения, его элементов и деталей; </w:t>
      </w:r>
    </w:p>
    <w:p w14:paraId="70000000">
      <w:pPr>
        <w:pStyle w:val="Style_2"/>
        <w:spacing w:after="0" w:line="360" w:lineRule="auto"/>
        <w:ind w:firstLine="567" w:left="0" w:right="5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3) обеспечение размещения, не создающего помех для движения пешеходов и транспорта.</w:t>
      </w:r>
    </w:p>
    <w:p w14:paraId="71000000">
      <w:pPr>
        <w:tabs>
          <w:tab w:leader="none" w:pos="7889" w:val="left"/>
        </w:tabs>
        <w:spacing w:after="0"/>
        <w:ind w:firstLine="567" w:left="0" w:right="57"/>
        <w:jc w:val="both"/>
        <w:rPr>
          <w:rFonts w:ascii="Times New Roman" w:hAnsi="Times New Roman"/>
          <w:color w:val="000000"/>
          <w:sz w:val="26"/>
        </w:rPr>
      </w:pPr>
    </w:p>
    <w:sectPr>
      <w:footerReference r:id="rId1" w:type="default"/>
      <w:type w:val="nextPage"/>
      <w:pgSz w:h="16848" w:orient="portrait" w:w="11908"/>
      <w:pgMar w:bottom="850" w:footer="708" w:gutter="0" w:header="708" w:left="850" w:right="567" w:top="1134"/>
      <w:pgNumType w:fmt="decimal"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ind/>
                            <w:jc w:val="center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instrText>PAGE \* Arabic</w:instrTex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annotation subject"/>
    <w:basedOn w:val="Style_7"/>
    <w:next w:val="Style_7"/>
    <w:link w:val="Style_6_ch"/>
    <w:rPr>
      <w:b w:val="1"/>
    </w:rPr>
  </w:style>
  <w:style w:styleId="Style_6_ch" w:type="character">
    <w:name w:val="annotation subject"/>
    <w:basedOn w:val="Style_7_ch"/>
    <w:link w:val="Style_6"/>
    <w:rPr>
      <w:b w:val="1"/>
    </w:rPr>
  </w:style>
  <w:style w:styleId="Style_8" w:type="paragraph">
    <w:name w:val="toc 6"/>
    <w:next w:val="Style_2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2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2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ConsPlusJurTerm"/>
    <w:link w:val="Style_12_ch"/>
    <w:pPr>
      <w:widowControl w:val="0"/>
      <w:spacing w:after="0" w:line="240" w:lineRule="auto"/>
      <w:ind/>
    </w:pPr>
    <w:rPr>
      <w:rFonts w:ascii="Tahoma" w:hAnsi="Tahoma"/>
      <w:sz w:val="26"/>
    </w:rPr>
  </w:style>
  <w:style w:styleId="Style_12_ch" w:type="character">
    <w:name w:val="ConsPlusJurTerm"/>
    <w:link w:val="Style_12"/>
    <w:rPr>
      <w:rFonts w:ascii="Tahoma" w:hAnsi="Tahoma"/>
      <w:sz w:val="26"/>
    </w:rPr>
  </w:style>
  <w:style w:styleId="Style_13" w:type="paragraph">
    <w:name w:val="ConsPlusTitlePage"/>
    <w:link w:val="Style_13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13_ch" w:type="character">
    <w:name w:val="ConsPlusTitlePage"/>
    <w:link w:val="Style_13"/>
    <w:rPr>
      <w:rFonts w:ascii="Tahoma" w:hAnsi="Tahoma"/>
      <w:sz w:val="20"/>
    </w:rPr>
  </w:style>
  <w:style w:styleId="Style_14" w:type="paragraph">
    <w:name w:val="ConsPlusNormal"/>
    <w:link w:val="Style_14_ch"/>
    <w:pPr>
      <w:widowControl w:val="0"/>
      <w:spacing w:after="0" w:line="240" w:lineRule="auto"/>
      <w:ind/>
    </w:pPr>
    <w:rPr>
      <w:rFonts w:ascii="Calibri" w:hAnsi="Calibri"/>
    </w:rPr>
  </w:style>
  <w:style w:styleId="Style_14_ch" w:type="character">
    <w:name w:val="ConsPlusNormal"/>
    <w:link w:val="Style_14"/>
    <w:rPr>
      <w:rFonts w:ascii="Calibri" w:hAnsi="Calibri"/>
    </w:rPr>
  </w:style>
  <w:style w:styleId="Style_15" w:type="paragraph">
    <w:name w:val="toc 3"/>
    <w:next w:val="Style_2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eading 5"/>
    <w:next w:val="Style_2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3" w:type="paragraph">
    <w:name w:val="heading 1"/>
    <w:next w:val="Style_2"/>
    <w:link w:val="Style_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_ch" w:type="character">
    <w:name w:val="heading 1"/>
    <w:link w:val="Style_3"/>
    <w:rPr>
      <w:rFonts w:ascii="XO Thames" w:hAnsi="XO Thames"/>
      <w:b w:val="1"/>
      <w:sz w:val="32"/>
    </w:rPr>
  </w:style>
  <w:style w:styleId="Style_18" w:type="paragraph">
    <w:name w:val="ConsPlusTitle"/>
    <w:link w:val="Style_18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18_ch" w:type="character">
    <w:name w:val="ConsPlusTitle"/>
    <w:link w:val="Style_18"/>
    <w:rPr>
      <w:rFonts w:ascii="Calibri" w:hAnsi="Calibri"/>
      <w:b w:val="1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2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ConsPlusTextList"/>
    <w:link w:val="Style_22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22_ch" w:type="character">
    <w:name w:val="ConsPlusTextList"/>
    <w:link w:val="Style_22"/>
    <w:rPr>
      <w:rFonts w:ascii="Arial" w:hAnsi="Arial"/>
      <w:sz w:val="20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23" w:type="paragraph">
    <w:name w:val="toc 9"/>
    <w:next w:val="Style_2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ConsPlusNonformat"/>
    <w:link w:val="Style_24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4_ch" w:type="character">
    <w:name w:val="ConsPlusNonformat"/>
    <w:link w:val="Style_24"/>
    <w:rPr>
      <w:rFonts w:ascii="Courier New" w:hAnsi="Courier New"/>
      <w:sz w:val="20"/>
    </w:rPr>
  </w:style>
  <w:style w:styleId="Style_25" w:type="paragraph">
    <w:name w:val="toc 8"/>
    <w:next w:val="Style_2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annotation reference"/>
    <w:basedOn w:val="Style_16"/>
    <w:link w:val="Style_26_ch"/>
    <w:rPr>
      <w:sz w:val="16"/>
    </w:rPr>
  </w:style>
  <w:style w:styleId="Style_26_ch" w:type="character">
    <w:name w:val="annotation reference"/>
    <w:basedOn w:val="Style_16_ch"/>
    <w:link w:val="Style_26"/>
    <w:rPr>
      <w:sz w:val="16"/>
    </w:rPr>
  </w:style>
  <w:style w:styleId="Style_27" w:type="paragraph">
    <w:name w:val="ConsPlusCell"/>
    <w:link w:val="Style_27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7_ch" w:type="character">
    <w:name w:val="ConsPlusCell"/>
    <w:link w:val="Style_27"/>
    <w:rPr>
      <w:rFonts w:ascii="Courier New" w:hAnsi="Courier New"/>
      <w:sz w:val="20"/>
    </w:rPr>
  </w:style>
  <w:style w:styleId="Style_28" w:type="paragraph">
    <w:name w:val="toc 5"/>
    <w:next w:val="Style_2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Balloon Text"/>
    <w:basedOn w:val="Style_2"/>
    <w:link w:val="Style_29_ch"/>
    <w:pPr>
      <w:spacing w:after="0" w:line="240" w:lineRule="auto"/>
      <w:ind/>
    </w:pPr>
    <w:rPr>
      <w:rFonts w:ascii="Segoe UI" w:hAnsi="Segoe UI"/>
      <w:sz w:val="18"/>
    </w:rPr>
  </w:style>
  <w:style w:styleId="Style_29_ch" w:type="character">
    <w:name w:val="Balloon Text"/>
    <w:basedOn w:val="Style_2_ch"/>
    <w:link w:val="Style_29"/>
    <w:rPr>
      <w:rFonts w:ascii="Segoe UI" w:hAnsi="Segoe UI"/>
      <w:sz w:val="18"/>
    </w:rPr>
  </w:style>
  <w:style w:styleId="Style_30" w:type="paragraph">
    <w:name w:val="Subtitle"/>
    <w:next w:val="Style_2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ConsPlusDocList"/>
    <w:link w:val="Style_31_ch"/>
    <w:pPr>
      <w:widowControl w:val="0"/>
      <w:spacing w:after="0" w:line="240" w:lineRule="auto"/>
      <w:ind/>
    </w:pPr>
    <w:rPr>
      <w:rFonts w:ascii="Calibri" w:hAnsi="Calibri"/>
    </w:rPr>
  </w:style>
  <w:style w:styleId="Style_31_ch" w:type="character">
    <w:name w:val="ConsPlusDocList"/>
    <w:link w:val="Style_31"/>
    <w:rPr>
      <w:rFonts w:ascii="Calibri" w:hAnsi="Calibri"/>
    </w:rPr>
  </w:style>
  <w:style w:styleId="Style_32" w:type="paragraph">
    <w:name w:val="Title"/>
    <w:next w:val="Style_2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2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2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7" w:type="paragraph">
    <w:name w:val="annotation text"/>
    <w:basedOn w:val="Style_2"/>
    <w:link w:val="Style_7_ch"/>
    <w:pPr>
      <w:spacing w:line="240" w:lineRule="auto"/>
      <w:ind/>
    </w:pPr>
    <w:rPr>
      <w:sz w:val="20"/>
    </w:rPr>
  </w:style>
  <w:style w:styleId="Style_7_ch" w:type="character">
    <w:name w:val="annotation text"/>
    <w:basedOn w:val="Style_2_ch"/>
    <w:link w:val="Style_7"/>
    <w:rPr>
      <w:sz w:val="20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2026-01-22T00:41:27Z</dcterms:modified>
</cp:coreProperties>
</file>