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2748915</wp:posOffset>
            </wp:positionH>
            <wp:positionV relativeFrom="paragraph">
              <wp:posOffset>33655</wp:posOffset>
            </wp:positionV>
            <wp:extent cx="979170" cy="576580"/>
            <wp:effectExtent l="0" t="0" r="0" b="0"/>
            <wp:wrapNone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1"/>
        <w:spacing w:lineRule="auto" w:line="360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26"/>
        </w:rPr>
        <w:t>АДМИНИСТРАЦИЯ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ЛАЗОВСКОГО </w:t>
      </w:r>
      <w:r>
        <w:rPr>
          <w:rFonts w:ascii="Times New Roman" w:hAnsi="Times New Roman"/>
          <w:b/>
          <w:sz w:val="26"/>
        </w:rPr>
        <w:t>МУНИЦИПАЛЬНОГО</w:t>
      </w:r>
      <w:r>
        <w:rPr>
          <w:rFonts w:ascii="Times New Roman" w:hAnsi="Times New Roman"/>
          <w:b/>
          <w:sz w:val="24"/>
        </w:rPr>
        <w:t xml:space="preserve"> ОКРУГА ПРИМОРСКОГО КРАЯ</w:t>
      </w:r>
    </w:p>
    <w:p>
      <w:pPr>
        <w:pStyle w:val="Normal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mc:AlternateContent>
          <mc:Choice Requires="wps">
            <w:drawing>
              <wp:anchor behindDoc="0" distT="10160" distB="9525" distL="9525" distR="9525" simplePos="0" locked="0" layoutInCell="1" allowOverlap="1" relativeHeight="2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6645" cy="1270"/>
                <wp:effectExtent l="9525" t="10160" r="9525" b="9525"/>
                <wp:wrapNone/>
                <wp:docPr id="2" name="Pictur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6520" cy="144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.15pt,9.25pt" to="491.45pt,9.3pt" ID="Picture 3" stroked="t" o:allowincell="f" style="position:absolute">
                <v:stroke color="black" weight="1908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</w:t>
      </w:r>
    </w:p>
    <w:p>
      <w:pPr>
        <w:pStyle w:val="2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ПОСТАНОВЛЕНИЕ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29.12.2023</w:t>
      </w:r>
      <w:r>
        <w:rPr>
          <w:rFonts w:ascii="Times New Roman" w:hAnsi="Times New Roman"/>
          <w:sz w:val="26"/>
        </w:rPr>
        <w:t xml:space="preserve">г.                                            </w:t>
      </w:r>
      <w:bookmarkStart w:id="0" w:name="_GoBack"/>
      <w:bookmarkEnd w:id="0"/>
      <w:r>
        <w:rPr>
          <w:rFonts w:ascii="Times New Roman" w:hAnsi="Times New Roman"/>
          <w:sz w:val="26"/>
        </w:rPr>
        <w:t xml:space="preserve"> с. Лазо                                                         №921</w:t>
      </w:r>
    </w:p>
    <w:p>
      <w:pPr>
        <w:pStyle w:val="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color w:val="000000"/>
          <w:sz w:val="26"/>
        </w:rPr>
        <w:t xml:space="preserve">Об утверждении Программы профилактики рисков причинения вреда (ущерба) охраняемым законом ценностям в сфере муниципального жилищного контроля на 2024 год </w:t>
      </w:r>
    </w:p>
    <w:p>
      <w:pPr>
        <w:pStyle w:val="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lineRule="auto" w:line="276"/>
        <w:ind w:left="0" w:right="0" w:firstLine="5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Лазовского муниципального округа, администрация Лазовского муниципального округа</w:t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 w:val="false"/>
          <w:sz w:val="26"/>
        </w:rPr>
        <w:t>ПОСТАНОВЛЯЕТ:</w:t>
      </w:r>
    </w:p>
    <w:p>
      <w:pPr>
        <w:pStyle w:val="Normal"/>
        <w:widowControl/>
        <w:spacing w:lineRule="auto" w:line="276" w:before="0" w:after="0"/>
        <w:ind w:left="0" w:right="0" w:firstLine="53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false"/>
          <w:sz w:val="26"/>
        </w:rPr>
        <w:t xml:space="preserve"> </w:t>
      </w:r>
    </w:p>
    <w:p>
      <w:pPr>
        <w:pStyle w:val="Normal"/>
        <w:widowControl/>
        <w:spacing w:lineRule="auto" w:line="276" w:before="0" w:after="0"/>
        <w:ind w:left="0" w:right="0" w:firstLine="53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false"/>
          <w:sz w:val="26"/>
        </w:rPr>
        <w:t>1. Утвердить прилагаемую Программу профилактики рисков причинения вреда (ущерба) охраняемым законом ценностям в сфере муниципального жилищного контроля на 2024 год (далее — Программа).</w:t>
      </w:r>
    </w:p>
    <w:p>
      <w:pPr>
        <w:pStyle w:val="Normal"/>
        <w:widowControl/>
        <w:spacing w:lineRule="auto" w:line="276" w:before="0" w:after="0"/>
        <w:ind w:left="0" w:righ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false"/>
          <w:color w:val="000000"/>
          <w:sz w:val="26"/>
        </w:rPr>
        <w:t>2</w:t>
      </w:r>
      <w:r>
        <w:rPr>
          <w:rFonts w:ascii="Times New Roman" w:hAnsi="Times New Roman"/>
          <w:b w:val="false"/>
          <w:sz w:val="26"/>
        </w:rPr>
        <w:t>. Настоящее постановление вступает в силу со дня опубликования и применяется с 01.01.2024 г.</w:t>
      </w:r>
    </w:p>
    <w:p>
      <w:pPr>
        <w:pStyle w:val="Normal"/>
        <w:widowControl/>
        <w:spacing w:lineRule="auto" w:line="276" w:before="0" w:after="0"/>
        <w:ind w:left="0" w:righ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3</w:t>
      </w:r>
      <w:r>
        <w:rPr>
          <w:rFonts w:ascii="Times New Roman" w:hAnsi="Times New Roman"/>
          <w:sz w:val="26"/>
        </w:rPr>
        <w:t>. Начальнику управления делами администрации Лазовского муниципального округа обеспечить размещение настоящего постановления на официальном сайте администрации Лазовского муниципального округа.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Г</w:t>
      </w:r>
      <w:r>
        <w:rPr>
          <w:rFonts w:ascii="Times New Roman" w:hAnsi="Times New Roman"/>
          <w:sz w:val="26"/>
        </w:rPr>
        <w:t>лав</w:t>
      </w:r>
      <w:r>
        <w:rPr>
          <w:rFonts w:ascii="Times New Roman" w:hAnsi="Times New Roman"/>
          <w:color w:val="000000"/>
          <w:sz w:val="26"/>
        </w:rPr>
        <w:t>а</w:t>
      </w:r>
      <w:r>
        <w:rPr>
          <w:rFonts w:ascii="Times New Roman" w:hAnsi="Times New Roman"/>
          <w:sz w:val="26"/>
        </w:rPr>
        <w:t xml:space="preserve"> Лазовского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муниципального округа</w:t>
        <w:tab/>
        <w:tab/>
        <w:t xml:space="preserve">                                                           Ю. А. Мосальский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0" w:right="10" w:hanging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tbl>
      <w:tblPr>
        <w:tblW w:w="4246" w:type="dxa"/>
        <w:jc w:val="left"/>
        <w:tblInd w:w="50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6"/>
      </w:tblGrid>
      <w:tr>
        <w:trPr/>
        <w:tc>
          <w:tcPr>
            <w:tcW w:w="4246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постановлением администрации Лазовского муниципального округа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6"/>
              </w:rPr>
              <w:t>29.12.2023</w:t>
            </w:r>
            <w:r>
              <w:rPr>
                <w:rFonts w:ascii="Times New Roman" w:hAnsi="Times New Roman"/>
                <w:sz w:val="26"/>
              </w:rPr>
              <w:t>г</w:t>
            </w:r>
            <w:r>
              <w:rPr>
                <w:rFonts w:ascii="Times New Roman" w:hAnsi="Times New Roman"/>
                <w:sz w:val="24"/>
              </w:rPr>
              <w:t xml:space="preserve"> №921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4"/>
          <w:szCs w:val="24"/>
        </w:rPr>
        <w:t>(Внесены измен. от 09.08.2024 №556)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ПРОФИЛАКТИКИ РИСКОВ ПРИЧИНЕНИЯ ВРЕДА (УЩЕРБА)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ОХРАНЯЕМЫМ ЗАКОНОМ ЦЕННОСТЯМ В СФЕРЕ МУНИЦИПАЛЬНОГО ЖИЛИЩНОГО КОНТРОЛЯ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 2024 ГОД 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1"/>
        <w:spacing w:before="0" w:after="0"/>
        <w:ind w:left="0" w:right="142" w:hanging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ПАСПОРТ</w:t>
      </w:r>
    </w:p>
    <w:p>
      <w:pPr>
        <w:pStyle w:val="1"/>
        <w:spacing w:before="0" w:after="0"/>
        <w:ind w:left="0" w:right="142" w:hanging="0"/>
        <w:jc w:val="center"/>
        <w:rPr>
          <w:rFonts w:ascii="Times New Roman" w:hAnsi="Times New Roman"/>
          <w:b w:val="false"/>
          <w:sz w:val="26"/>
        </w:rPr>
      </w:pPr>
      <w:r>
        <w:rPr>
          <w:rFonts w:ascii="Times New Roman" w:hAnsi="Times New Roman"/>
          <w:b w:val="false"/>
          <w:sz w:val="26"/>
        </w:rPr>
        <w:t>программы профилактики рисков причинения вреда (ущерба) охраняемым законом ценностям в сфере муниципального жилищного контроля на 2024 год</w:t>
      </w:r>
    </w:p>
    <w:p>
      <w:pPr>
        <w:pStyle w:val="1"/>
        <w:spacing w:before="0" w:after="0"/>
        <w:ind w:left="0" w:right="142" w:hanging="0"/>
        <w:jc w:val="center"/>
        <w:rPr>
          <w:rFonts w:ascii="Times New Roman" w:hAnsi="Times New Roman"/>
          <w:b w:val="false"/>
          <w:sz w:val="26"/>
        </w:rPr>
      </w:pPr>
      <w:r>
        <w:rPr>
          <w:rFonts w:ascii="Times New Roman" w:hAnsi="Times New Roman"/>
          <w:b w:val="false"/>
          <w:sz w:val="26"/>
        </w:rPr>
      </w:r>
    </w:p>
    <w:tbl>
      <w:tblPr>
        <w:tblW w:w="96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567"/>
      </w:tblGrid>
      <w:tr>
        <w:trPr>
          <w:trHeight w:val="982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Наименование Программы 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right="0" w:firstLine="709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Программа профилактики рисков причинения вреда (ущерба) охраняемым законом ценностям в сфере муниципального жилищного контроля на 2024 год</w:t>
            </w:r>
          </w:p>
        </w:tc>
      </w:tr>
      <w:tr>
        <w:trPr>
          <w:trHeight w:val="982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Правовые основания разработки программы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34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-Федеральный закон от 06.10.2003 №131-ФЗ «Об общих принципах организации местного самоуправления в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34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 Федеральный закон от 31.07.2020 № 248 – ФЗ «О государственном контроле (надзоре) и муниципальном контроле в Российской Федерации»;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34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-Постановление Правительства РФ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>
        <w:trPr>
          <w:trHeight w:val="659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Разработчик Программы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Отдел жилищно-коммунального хозяйства администрации Лазовского муниципального округа</w:t>
            </w:r>
          </w:p>
        </w:tc>
      </w:tr>
      <w:tr>
        <w:trPr>
          <w:trHeight w:val="274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Цели Программы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 xml:space="preserve">- предотвращение рисков причинения вреда охраняемым законом ценностям;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 xml:space="preserve">- предупреждение нарушений обязательных требований (снижение числа нарушений обязательных требований) в подконтрольной сфере общественных отношений;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 xml:space="preserve">- создание у подконтрольных субъектов мотивации к добросовестному поведению, повышение правосознания и правовой культуры подконтрольных субъектов;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 xml:space="preserve">- снижение издержек, повышение эффективности исполнения функций органа муниципального контроля;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 повышение эффективности взаимодействия между подконтрольными субъектами и органом муниципального контроля.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Задачи Программы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 планирование и проведение профилактических мероприятий на основе принципов информационной открытости, а также обязательности, актуальности, периодичности профилактических мероприятий и достижения максимальной вовлеченности подконтрольных субъектов;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 xml:space="preserve">- выявление причин, факторов и условий, влекущих нарушения требований, в ходе проведения проверок, осмотров, обследований;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 информирование подконтрольных субъектов о содержании требований в ходе проведения проверок, осмотров, обследований, а также посредством их размещения на официальном сайте администрации.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Сроки и этапы реализации Программы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right="0" w:firstLine="281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2024 год</w:t>
            </w:r>
          </w:p>
        </w:tc>
      </w:tr>
      <w:tr>
        <w:trPr>
          <w:trHeight w:val="803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</w:rPr>
            </w:pPr>
            <w:r>
              <w:rPr>
                <w:sz w:val="26"/>
              </w:rPr>
              <w:t>Источники финансирования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0" w:right="0" w:firstLine="432"/>
              <w:jc w:val="both"/>
              <w:rPr>
                <w:rFonts w:ascii="Times New Roman" w:hAnsi="Times New Roman"/>
                <w:sz w:val="26"/>
              </w:rPr>
            </w:pPr>
            <w:r>
              <w:rPr>
                <w:sz w:val="26"/>
              </w:rPr>
              <w:t>Финансирование не предусмотрено</w:t>
            </w:r>
          </w:p>
        </w:tc>
      </w:tr>
      <w:tr>
        <w:trPr>
          <w:trHeight w:val="346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</w:rPr>
            </w:pPr>
            <w:r>
              <w:rPr>
                <w:sz w:val="26"/>
              </w:rPr>
              <w:t xml:space="preserve">Ожидаемые конечные результаты 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- снижение рисков причинения вреда охраняемым законом ценностям;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- увеличение доли законопослушных подконтрольных субъектов»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</w:t>
            </w:r>
            <w:r>
              <w:rPr>
                <w:rFonts w:ascii="Times New Roman" w:hAnsi="Times New Roman"/>
                <w:sz w:val="26"/>
              </w:rPr>
              <w:t>- внедрение различных способов профилактики»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- разработка образцов эффективного, законопослушного поведения подконтрольных субъектов;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 обеспечение квалифицированной профилактической работы должностных лиц контрольно-надзорного органа;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 повышение прозрачности деятельности контрольно-надзорного органа.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1.Анализ текущего состояния осуществления муниципального                           жилищного контроля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1.1. Настоящая муниципальная программа профилактики рисков причинения вреда (ущерба) охраняемым законом ценностям в сфере муниципального жилищного контроля на 2024 год (далее – Программа)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 и принимаемыми в соответствии с ними законами и иными нормативными правовыми актами Приморского края, в целях предупреждения возможного нарушения подконтрольными субъектами обязательных требований и снижения рисков причинения ущерба муниципальному имуществу, устранению причин, факторов и условий, способствующих нарушениям обязательных требований. 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 муниципальным жилищным контролем понимается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Объектом муниципального жилищного контроля являются все многоквартирные дома и жилые дома (помещения) социального найма, расположенные на территории Лазовского муниципального округа, находящиеся в муниципальной собственности.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Муниципальный жилищный контроль направлен на соблюдение юридическими лицами, индивидуальными предпринимателями и гражданами (далее 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 (далее - обязательных требований), а именно: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1) требований к: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использованию и сохранности жилищного фонда;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жилым помещениям, их использованию и содержанию;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использованию и содержанию общего имущества собственников помещений в многоквартирных домах;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порядку осуществления перепланировки и (или) переустройства помещений в многоквартирном доме;</w:t>
      </w:r>
    </w:p>
    <w:p>
      <w:pPr>
        <w:pStyle w:val="Normal"/>
        <w:tabs>
          <w:tab w:val="clear" w:pos="709"/>
          <w:tab w:val="left" w:pos="567" w:leader="none"/>
        </w:tabs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формированию фондов капитального ремонта;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обеспечению доступности для инвалидов помещений в многоквартирных домах;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предоставлению жилых помещений в наемных домах социального использования;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3) правил: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содержания общего имущества в многоквартирном доме;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изменения размера платы за содержание жилого помещения;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>
      <w:pPr>
        <w:pStyle w:val="Normal"/>
        <w:widowControl w:val="false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на территории Лазовского муниципального округа.</w:t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2. Цели и задачи реализации Программы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2.1. Целями Программы являются: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предотвращение рисков причинения вреда охраняемым законом ценностям;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б) предупреждение нарушений обязательных требований (снижение числа нарушений обязательных требований) в подконтрольной сфере общественных отношений;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создание у подконтрольных субъектов мотивации к добросовестному поведению, повышение правосознания и правовой культуры подконтрольных субъектов;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г) снижение издержек, повышение эффективности исполнения функций органа муниципального контроля;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д) повышение эффективности взаимодействия между подконтрольными субъектами и органом муниципального контроля.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2.2. Для достижения цели Программы необходимо решить следующие задачи: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планирование и проведение профилактических мероприятий на основе принципов информационной открытости, а также обязательности, актуальности, периодичности профилактических мероприятий и достижения максимальной вовлеченности подконтрольных субъектов;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б) выявление причин, факторов и условий, влекущих нарушения требований, в ходе проведения проверок, осмотров, обследований;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информирование подконтрольных субъектов о содержании требований в ходе проведения проверок, осмотров, обследований, а также посредством их размещения на официальном сайте администрации Лазовского муниципального округа.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3. Перечень профилактических мероприятий, сроки (периодичность) их проведения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3.1. 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осуществлении муниципального жилищного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3.2. При осуществлении уполномоченным органом жилищного контроля могут проводиться следующие виды профилактических мероприятий: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информирование;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обобщение правоприменительной практики;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объявление предостережения;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консультирование</w:t>
      </w:r>
      <w:r>
        <w:rPr>
          <w:rFonts w:ascii="Times New Roman" w:hAnsi="Times New Roman"/>
        </w:rPr>
        <w:t>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3.2.1.</w:t>
      </w:r>
      <w:r>
        <w:rPr>
          <w:rFonts w:ascii="Times New Roman" w:hAnsi="Times New Roman"/>
          <w:b w:val="false"/>
          <w:bCs w:val="false"/>
          <w:i w:val="false"/>
          <w:sz w:val="26"/>
          <w:szCs w:val="26"/>
        </w:rPr>
        <w:t xml:space="preserve">Информирование осуществляется посредством размещения соответствующих сведений на официальном сайте контрольного (надзорного) органа в сети "Интернет",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 xml:space="preserve">    </w:t>
      </w:r>
      <w:r>
        <w:rPr>
          <w:b w:val="false"/>
          <w:bCs w:val="false"/>
          <w:i w:val="false"/>
          <w:sz w:val="26"/>
          <w:szCs w:val="26"/>
        </w:rPr>
        <w:t>Контрольный (надзорный) орган обязан размещать и поддерживать в актуальном состоянии на своем официальном сайте в сети "Интернет":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>1) тексты нормативных правовых актов, регулирующих осуществление государственного контроля (надзора), муниципального контроля;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>2) 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силу;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>4) утвержденные проверочные листы в формате, допускающем их использование для самообследования;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 xml:space="preserve">5) руководства по соблюдению обязательных требований, разработанные и утвержденные в соответствии с Федеральным </w:t>
      </w:r>
      <w:r>
        <w:fldChar w:fldCharType="begin"/>
      </w:r>
      <w:r>
        <w:rPr>
          <w:rStyle w:val="-"/>
          <w:sz w:val="26"/>
          <w:i w:val="false"/>
          <w:u w:val="single"/>
          <w:b w:val="false"/>
          <w:szCs w:val="26"/>
          <w:bCs w:val="false"/>
        </w:rPr>
        <w:instrText xml:space="preserve"> HYPERLINK "https://normativ.kontur.ru/document?moduleid=1&amp;documentid=433110" \l "l0"</w:instrText>
      </w:r>
      <w:r>
        <w:rPr>
          <w:rStyle w:val="-"/>
          <w:sz w:val="26"/>
          <w:i w:val="false"/>
          <w:u w:val="single"/>
          <w:b w:val="false"/>
          <w:szCs w:val="26"/>
          <w:bCs w:val="false"/>
        </w:rPr>
        <w:fldChar w:fldCharType="separate"/>
      </w:r>
      <w:r>
        <w:rPr>
          <w:rStyle w:val="-"/>
          <w:b w:val="false"/>
          <w:bCs w:val="false"/>
          <w:i w:val="false"/>
          <w:sz w:val="26"/>
          <w:szCs w:val="26"/>
          <w:u w:val="single"/>
        </w:rPr>
        <w:t>законом</w:t>
      </w:r>
      <w:r>
        <w:rPr>
          <w:rStyle w:val="-"/>
          <w:sz w:val="26"/>
          <w:i w:val="false"/>
          <w:u w:val="single"/>
          <w:b w:val="false"/>
          <w:szCs w:val="26"/>
          <w:bCs w:val="false"/>
        </w:rPr>
        <w:fldChar w:fldCharType="end"/>
      </w:r>
      <w:r>
        <w:rPr>
          <w:b w:val="false"/>
          <w:bCs w:val="false"/>
          <w:i w:val="false"/>
          <w:sz w:val="26"/>
          <w:szCs w:val="26"/>
        </w:rPr>
        <w:t xml:space="preserve"> "Об обязательных требованиях в Российской Федерации";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 xml:space="preserve">6) перечень индикаторов риска нарушения обязательных требований, порядок отнесения объектов контроля к категориям риска; (в ред. Федерального закона </w:t>
      </w:r>
      <w:r>
        <w:fldChar w:fldCharType="begin"/>
      </w:r>
      <w:r>
        <w:rPr>
          <w:rStyle w:val="-"/>
          <w:sz w:val="26"/>
          <w:i w:val="false"/>
          <w:u w:val="single"/>
          <w:b w:val="false"/>
          <w:szCs w:val="26"/>
          <w:bCs w:val="false"/>
        </w:rPr>
        <w:instrText xml:space="preserve"> HYPERLINK "https://normativ.kontur.ru/document?moduleid=1&amp;documentid=393776" \l "l1439"</w:instrText>
      </w:r>
      <w:r>
        <w:rPr>
          <w:rStyle w:val="-"/>
          <w:sz w:val="26"/>
          <w:i w:val="false"/>
          <w:u w:val="single"/>
          <w:b w:val="false"/>
          <w:szCs w:val="26"/>
          <w:bCs w:val="false"/>
        </w:rPr>
        <w:fldChar w:fldCharType="separate"/>
      </w:r>
      <w:r>
        <w:rPr>
          <w:rStyle w:val="-"/>
          <w:b w:val="false"/>
          <w:bCs w:val="false"/>
          <w:i w:val="false"/>
          <w:sz w:val="26"/>
          <w:szCs w:val="26"/>
          <w:u w:val="single"/>
        </w:rPr>
        <w:t>от 11.06.2021 N 170-ФЗ</w:t>
      </w:r>
      <w:r>
        <w:rPr>
          <w:rStyle w:val="-"/>
          <w:sz w:val="26"/>
          <w:i w:val="false"/>
          <w:u w:val="single"/>
          <w:b w:val="false"/>
          <w:szCs w:val="26"/>
          <w:bCs w:val="false"/>
        </w:rPr>
        <w:fldChar w:fldCharType="end"/>
      </w:r>
      <w:r>
        <w:rPr>
          <w:b w:val="false"/>
          <w:bCs w:val="false"/>
          <w:i w:val="false"/>
          <w:sz w:val="26"/>
          <w:szCs w:val="26"/>
        </w:rPr>
        <w:t>)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 xml:space="preserve">7) перечень объектов контроля, учитываемых в рамках формирования ежегодного плана контрольных (надзорных) мероприятий, с указанием категории риска; (в ред. Федерального закона </w:t>
      </w:r>
      <w:r>
        <w:fldChar w:fldCharType="begin"/>
      </w:r>
      <w:r>
        <w:rPr>
          <w:rStyle w:val="-"/>
          <w:sz w:val="26"/>
          <w:i w:val="false"/>
          <w:u w:val="single"/>
          <w:b w:val="false"/>
          <w:szCs w:val="26"/>
          <w:bCs w:val="false"/>
        </w:rPr>
        <w:instrText xml:space="preserve"> HYPERLINK "https://normativ.kontur.ru/document?moduleid=1&amp;documentid=393776" \l "l1439"</w:instrText>
      </w:r>
      <w:r>
        <w:rPr>
          <w:rStyle w:val="-"/>
          <w:sz w:val="26"/>
          <w:i w:val="false"/>
          <w:u w:val="single"/>
          <w:b w:val="false"/>
          <w:szCs w:val="26"/>
          <w:bCs w:val="false"/>
        </w:rPr>
        <w:fldChar w:fldCharType="separate"/>
      </w:r>
      <w:r>
        <w:rPr>
          <w:rStyle w:val="-"/>
          <w:b w:val="false"/>
          <w:bCs w:val="false"/>
          <w:i w:val="false"/>
          <w:sz w:val="26"/>
          <w:szCs w:val="26"/>
          <w:u w:val="single"/>
        </w:rPr>
        <w:t>от 11.06.2021 N 170-ФЗ</w:t>
      </w:r>
      <w:r>
        <w:rPr>
          <w:rStyle w:val="-"/>
          <w:sz w:val="26"/>
          <w:i w:val="false"/>
          <w:u w:val="single"/>
          <w:b w:val="false"/>
          <w:szCs w:val="26"/>
          <w:bCs w:val="false"/>
        </w:rPr>
        <w:fldChar w:fldCharType="end"/>
      </w:r>
      <w:r>
        <w:rPr>
          <w:b w:val="false"/>
          <w:bCs w:val="false"/>
          <w:i w:val="false"/>
          <w:sz w:val="26"/>
          <w:szCs w:val="26"/>
        </w:rPr>
        <w:t>)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>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>9) исчерпывающий перечень сведений, которые могут запрашиваться контрольным (надзорным) органом у контролируемого лица;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>10) сведения о способах получения консультаций по вопросам соблюдения обязательных требований;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>11) сведения о применении контрольным (надзорным) органом мер стимулирования добросовестности контролируемых лиц;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>12) сведения о порядке досудебного обжалования решений контрольного (надзорного) органа, действий (бездействия) его должностных лиц;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>13) доклады, содержащие результаты обобщения правоприменительной практики контрольного (надзорного) органа;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>14) доклады о государственном контроле (надзоре), муниципальном контроле;</w:t>
      </w:r>
    </w:p>
    <w:p>
      <w:pPr>
        <w:pStyle w:val="Normal"/>
        <w:spacing w:before="0" w:after="150"/>
        <w:jc w:val="both"/>
        <w:rPr>
          <w:szCs w:val="28"/>
        </w:rPr>
      </w:pPr>
      <w:r>
        <w:rPr>
          <w:b w:val="false"/>
          <w:bCs w:val="false"/>
          <w:i w:val="false"/>
          <w:sz w:val="26"/>
          <w:szCs w:val="26"/>
        </w:rPr>
        <w:t>15) информацию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лицами;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false"/>
          <w:bCs w:val="false"/>
          <w:i w:val="false"/>
          <w:sz w:val="26"/>
          <w:szCs w:val="26"/>
        </w:rPr>
        <w:t>16)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6"/>
        </w:rPr>
      </w:pPr>
      <w:r>
        <w:rPr/>
        <w:t xml:space="preserve">3.2.2. </w:t>
      </w:r>
      <w:r>
        <w:rPr>
          <w:sz w:val="26"/>
        </w:rPr>
        <w:t>Обобщение правоприменительной практики организации и проведения муниципального контроля осуществляется ежегодно.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sz w:val="26"/>
        </w:rPr>
      </w:pPr>
      <w:r>
        <w:rPr>
          <w:sz w:val="26"/>
        </w:rPr>
        <w:t xml:space="preserve">  </w:t>
      </w:r>
      <w:r>
        <w:rPr>
          <w:sz w:val="26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- доклад).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sz w:val="26"/>
        </w:rPr>
      </w:pPr>
      <w:r>
        <w:rPr>
          <w:sz w:val="26"/>
        </w:rPr>
        <w:t xml:space="preserve">  </w:t>
      </w:r>
      <w:r>
        <w:rPr>
          <w:sz w:val="26"/>
        </w:rPr>
        <w:t>Контрольный орган обеспечивает публичное обсуждение проекта доклада.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sz w:val="26"/>
        </w:rPr>
      </w:pPr>
      <w:r>
        <w:rPr>
          <w:sz w:val="26"/>
        </w:rPr>
        <w:t xml:space="preserve">  </w:t>
      </w:r>
      <w:r>
        <w:rPr>
          <w:sz w:val="26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практики.</w:t>
      </w:r>
    </w:p>
    <w:p>
      <w:pPr>
        <w:pStyle w:val="Normal"/>
        <w:tabs>
          <w:tab w:val="left" w:pos="709" w:leader="none"/>
          <w:tab w:val="left" w:pos="1701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3.2.3. Предостережение о недопустимости нарушения обязательных требований (далее - предостережение) объявляется контролируемому лицу в случае наличия у уполномоченного органа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Срок проведения - по мере поступления сведений о готовящихся нарушениях обязательных требований.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3.2.4.Консультирование (разъяснения по вопросам, связанным с организацией и осуществлением</w:t>
      </w:r>
      <w:r>
        <w:rPr>
          <w:rFonts w:ascii="Times New Roman" w:hAnsi="Times New Roman"/>
          <w:b w:val="false"/>
          <w:sz w:val="26"/>
        </w:rPr>
        <w:t xml:space="preserve"> муниципального контроля за сохранностью автомобильных дорог местного значения, расположенных в границах Лазовского муниципального округа</w:t>
      </w:r>
      <w:r>
        <w:rPr>
          <w:rFonts w:ascii="Times New Roman" w:hAnsi="Times New Roman"/>
          <w:sz w:val="26"/>
        </w:rPr>
        <w:t>) осуществляется должностным лицом уполномоченного органа как в устной форме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мероприятия, так и в письменной форме.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i w:val="false"/>
          <w:sz w:val="26"/>
        </w:rPr>
        <w:t>Должностное лицо контрольного (надзорного)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Консультирование в устной и письменной формах осуществляется по следующим вопросам: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Компетенция уполномоченного органа.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Соблюдение обязательных требований.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Проведение контрольных (надзорных) мероприятий.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Применение мер ответственности.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 проведения – постоянно.</w:t>
      </w:r>
    </w:p>
    <w:p>
      <w:pPr>
        <w:pStyle w:val="Normal"/>
        <w:ind w:left="0" w:right="0" w:firstLine="540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b/>
          <w:color w:val="000000"/>
          <w:sz w:val="26"/>
        </w:rPr>
        <w:t>4. Ресурсное обеспечение Программы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Ресурсное обеспечение Программы включает в себя кадровое и информационно-аналитическое обеспечение ее реализации.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</w:r>
    </w:p>
    <w:p>
      <w:pPr>
        <w:pStyle w:val="Normal"/>
        <w:ind w:left="0" w:right="0" w:firstLine="540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b/>
          <w:color w:val="000000"/>
          <w:sz w:val="26"/>
        </w:rPr>
        <w:t>5. Механизм реализации программы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 xml:space="preserve">Для оценки мероприятий по профилактике нарушений требований и в целом Программы, с учетом достижения целей Программы устанавливаются следующие отчетные показатели: 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-  количество выявленных нарушений; 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- количество направленных информационных писем и выданных предостережений о недопустимости нарушения требований; 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- количество субъектов, которым направлены информационные письма и выданы предостережения о недопустимости нарушения требований; 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- количество проверок, сведения о проведении которых внесены в Федеральную государственную информационную систему «Единый реестр проверок»; 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- количество мероприятий по информированию подконтрольных субъектов по вопросам соблюдения требований.</w:t>
      </w:r>
    </w:p>
    <w:p>
      <w:pPr>
        <w:pStyle w:val="Normal"/>
        <w:ind w:left="0" w:right="0" w:firstLine="54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6. Показатели результативности и эффективности Программы 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 отчетным показателям Программы на 2024 год относятся: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количество проведенных профилактических мероприятий по информированию подконтрольных лиц по вопросам соблюдения обязательных требований;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    количество выданных предостережений;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 количество проведенных профилактических мероприятий связанных с консультированием подконтрольных лиц;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    количество проведенных профилактических визитов подконтрольных лиц;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 соотношение устраненных нарушений обязательных требований, выявленных в ходе осуществления муниципального жилищного контроля, к общему количеству выявленных нарушений обязательных требований.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Информация о реализации Программы размещается на официальном сайте администрации Лазовского муниципального округа.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color w:val="000000"/>
          <w:sz w:val="26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basedOn w:val="Normal"/>
    <w:next w:val="Normal"/>
    <w:uiPriority w:val="9"/>
    <w:qFormat/>
    <w:pPr>
      <w:keepNext w:val="true"/>
      <w:jc w:val="center"/>
      <w:outlineLvl w:val="0"/>
    </w:pPr>
    <w:rPr>
      <w:sz w:val="32"/>
    </w:rPr>
  </w:style>
  <w:style w:type="paragraph" w:styleId="2">
    <w:name w:val="Heading 2"/>
    <w:basedOn w:val="Normal"/>
    <w:next w:val="Normal"/>
    <w:uiPriority w:val="9"/>
    <w:qFormat/>
    <w:pPr>
      <w:keepNext w:val="true"/>
      <w:jc w:val="center"/>
      <w:outlineLvl w:val="1"/>
    </w:pPr>
    <w:rPr>
      <w:b/>
      <w:sz w:val="28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List">
    <w:name w:val="List"/>
    <w:basedOn w:val="Textbody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sPlusNormal">
    <w:name w:val="ConsPlusNormal"/>
    <w:link w:val="ConsPlusNormal1"/>
    <w:qFormat/>
    <w:rPr>
      <w:rFonts w:ascii="Times New Roman" w:hAnsi="Times New Roman"/>
      <w:color w:val="000000"/>
      <w:sz w:val="24"/>
    </w:rPr>
  </w:style>
  <w:style w:type="character" w:styleId="NormalWeb">
    <w:name w:val="Normal (Web)"/>
    <w:link w:val="NormalWeb1"/>
    <w:qFormat/>
    <w:rPr>
      <w:sz w:val="24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Textbody">
    <w:name w:val="Text body"/>
    <w:qFormat/>
    <w:rPr/>
  </w:style>
  <w:style w:type="character" w:styleId="Caption">
    <w:name w:val="Caption"/>
    <w:qFormat/>
    <w:rPr>
      <w:i/>
      <w:sz w:val="24"/>
    </w:rPr>
  </w:style>
  <w:style w:type="character" w:styleId="Heading1">
    <w:name w:val="Heading 1"/>
    <w:qFormat/>
    <w:rPr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Style9">
    <w:name w:val="Нормальный"/>
    <w:link w:val="Style18"/>
    <w:qFormat/>
    <w:rPr/>
  </w:style>
  <w:style w:type="character" w:styleId="Style10">
    <w:name w:val="Указатель"/>
    <w:link w:val="Style16"/>
    <w:qFormat/>
    <w:rPr/>
  </w:style>
  <w:style w:type="character" w:styleId="Style11">
    <w:name w:val="Заголовок"/>
    <w:link w:val="Style12"/>
    <w:qFormat/>
    <w:rPr>
      <w:rFonts w:ascii="Liberation Sans" w:hAnsi="Liberation San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b/>
      <w:sz w:val="28"/>
    </w:rPr>
  </w:style>
  <w:style w:type="paragraph" w:styleId="Style12">
    <w:name w:val="Заголовок"/>
    <w:basedOn w:val="Normal"/>
    <w:next w:val="Style13"/>
    <w:link w:val="Style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/>
  </w:style>
  <w:style w:type="paragraph" w:styleId="Style15">
    <w:name w:val="Caption"/>
    <w:basedOn w:val="Normal"/>
    <w:qFormat/>
    <w:pPr>
      <w:spacing w:before="120" w:after="120"/>
    </w:pPr>
    <w:rPr>
      <w:i/>
      <w:sz w:val="24"/>
    </w:rPr>
  </w:style>
  <w:style w:type="paragraph" w:styleId="Style16">
    <w:name w:val="Указатель"/>
    <w:basedOn w:val="Normal"/>
    <w:link w:val="Style10"/>
    <w:qFormat/>
    <w:pPr/>
    <w:rPr/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Normal1">
    <w:name w:val="ConsPlusNormal"/>
    <w:link w:val="ConsPlusNormal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NormalWeb1">
    <w:name w:val="Normal (Web)"/>
    <w:basedOn w:val="Normal"/>
    <w:link w:val="NormalWeb"/>
    <w:qFormat/>
    <w:pPr>
      <w:spacing w:beforeAutospacing="1" w:afterAutospacing="1"/>
    </w:pPr>
    <w:rPr>
      <w:sz w:val="24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SimSun" w:cs="Arial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8">
    <w:name w:val="Нормальный"/>
    <w:basedOn w:val="Normal"/>
    <w:link w:val="Style9"/>
    <w:qFormat/>
    <w:pPr/>
    <w:rPr/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20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LibreOffice/7.5.5.2$Windows_X86_64 LibreOffice_project/ca8fe7424262805f223b9a2334bc7181abbcbf5e</Application>
  <AppVersion>15.0000</AppVersion>
  <Pages>9</Pages>
  <Words>1910</Words>
  <Characters>15442</Characters>
  <CharactersWithSpaces>17624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2024-08-09T14:46:00Z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